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47675be7e3f4c4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42686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ZAVIČAJNI MUZEJ OZALJ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148.327,54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209.075,06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135.234,24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174.584,53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13.093,30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34.490,53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34.625,62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18.570,00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34.625,62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5.476,70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w:t>
            </w:r>
          </w:p>
        </w:tc>
      </w:tr>
    </w:tbl>
    <w:p>
      <w:pPr>
        <w:spacing w:before="0" w:after="0"/>
      </w:pPr>
    </w:p>
    <w:p>
      <w:r>
        <w:t xml:space="preserve"> U 2025. godini ostvaren je višak prihoda poslovanja od 34.490,53 eura jer su prihodi veći od rashoda poslovanja. Što se tiče prihoda i rashoda od nefinancijske imovine, ostvaren je manjak u iznosu 34.625,62 eura.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148.327,54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209.075,06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141,0</w:t>
            </w:r>
          </w:p>
        </w:tc>
      </w:tr>
    </w:tbl>
    <w:p>
      <w:pPr>
        <w:spacing w:before="0" w:after="0"/>
      </w:pPr>
    </w:p>
    <w:p>
      <w:r>
        <w:t xml:space="preserve">Tijekom izvještajnog razdoblja ostvareni su ukupni prihodi poslovanja (račun 6) u iznosu od 209.075,06 EUR, što predstavlja povećanje u odnosu na prethodnu godinu za 41%, prvenstveno zbog povećanja na računima 63 i 65.</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w:t>
            </w:r>
          </w:p>
        </w:tc>
      </w:tr>
    </w:tbl>
    <w:p>
      <w:pPr>
        <w:spacing w:before="0" w:after="0"/>
      </w:pPr>
    </w:p>
    <w:p>
      <w:r>
        <w:t xml:space="preserve">Primljena su sredstva Ministarstva kulture i medija RH u okviru ugovora o financiranju programa zaštite i očuvanja kopnene arheološke baštine: Ozalj - Stari grad Ozalj, za arheološka istraživanja, u iznosu 8.000,00 EUR koja su knjižena na računu 6361. Na isti račun knjižena su i sredstva Karlovačke županije prema ugovoru o sufinanciranju provedbe projekta: Centar za pružanje usluga u zajednici Ozalj - grafička priprema i tisak izdanja, u iznosu 3.300,00 EUR.</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Kapitalne pomoći proračunskim korisnicima iz proračuna koji im nije nadležan odnose se na ugovor o financiranju programa zaštite i očuvanja nepokretnih kulturnih dobara: Ozalj, Etno park Ozalj, za sanaciju pokrova, sklopljen sa Ministarstvom kulture i medija RH, na iznos 14.900,00 EUR.</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20.473,00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w:t>
            </w:r>
          </w:p>
        </w:tc>
      </w:tr>
    </w:tbl>
    <w:p>
      <w:pPr>
        <w:spacing w:before="0" w:after="0"/>
      </w:pPr>
    </w:p>
    <w:p>
      <w:r>
        <w:t xml:space="preserve">Na ostalim nespomenutim prihodima vidljivo je povećanje za 34% kao posljedica povećanog broja posjetitelja muzeju.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bl>
    <w:p>
      <w:pPr>
        <w:spacing w:before="0" w:after="0"/>
      </w:pPr>
    </w:p>
    <w:p>
      <w:r>
        <w:t xml:space="preserve">Povećan broj posjetitelja rezultirao je i povećanim prihodima od prodaje proizvoda i robe (račun 6614), odnosno povećanoj prodaji suvenira.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112.615,65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152.108,80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w:t>
            </w:r>
          </w:p>
        </w:tc>
      </w:tr>
    </w:tbl>
    <w:p>
      <w:pPr>
        <w:spacing w:before="0" w:after="0"/>
      </w:pPr>
    </w:p>
    <w:p>
      <w:r>
        <w:t xml:space="preserve">Uslijed povećane aktivnosti proračunskog korisnika evidentirana je i promjena na prihodima iz nadležnog proračuna za financiranje redovne djelatnosti proračunskih korisnika (šifra 671).</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135.234,24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174.584,53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w:t>
            </w:r>
          </w:p>
        </w:tc>
      </w:tr>
    </w:tbl>
    <w:p>
      <w:pPr>
        <w:spacing w:before="0" w:after="0"/>
      </w:pPr>
    </w:p>
    <w:p>
      <w:r>
        <w:t xml:space="preserve">U odnosu na prethodnu godinu ukupni rashodi poslovanja (račun 3) su u porastu za 29% što je najvećim dijelom posljedica povećanja osnovica za obračun plaća djelatnika Muzeja, vidljivo također na računima za plaće za redovan rad (3111) i doprinose na plaće (313).</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505,9</w:t>
            </w:r>
          </w:p>
        </w:tc>
      </w:tr>
    </w:tbl>
    <w:p>
      <w:pPr>
        <w:spacing w:before="0" w:after="0"/>
      </w:pPr>
    </w:p>
    <w:p>
      <w:r>
        <w:t xml:space="preserve">Račun 3213 Stručno usavršavanje zaposlenika odnosi se na polaganje stručnog ispita za upravljanje dokumentarnim i arhivskim gradivom dvojice djelatnika proračunskog korisnika.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Za potrebe realizacije programa Skupni lonec unajmljeni su šator i wc kabine, a trošak je evidentiran na računu 3235 Zakupnine i najamnine.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20.305,12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w:t>
            </w:r>
          </w:p>
        </w:tc>
      </w:tr>
    </w:tbl>
    <w:p>
      <w:pPr>
        <w:spacing w:before="0" w:after="0"/>
      </w:pPr>
    </w:p>
    <w:p>
      <w:r>
        <w:t xml:space="preserve">Račun intelektualnih i osobnih usluga obuhvaća:</w:t>
      </w:r>
    </w:p>
    <w:p>
      <w:r>
        <w:t xml:space="preserve">·         autorski ugovor za lektoriranje knjige Centar za pružanje usluga u zajednici Ozalj</w:t>
      </w:r>
    </w:p>
    <w:p>
      <w:r>
        <w:t xml:space="preserve">·         studentske i učeničke ugovore za arheološka istraživanja na Starom gradu Ozlju</w:t>
      </w:r>
    </w:p>
    <w:p>
      <w:r>
        <w:t xml:space="preserve">·         trošak analize uzoraka pronađenih tijekom arheoloških istraživanja</w:t>
      </w:r>
    </w:p>
    <w:p>
      <w:r>
        <w:t xml:space="preserve">·         ugovore o djelu u sklopu programa Skupni lonec i Panonska hiža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274,3</w:t>
            </w:r>
          </w:p>
        </w:tc>
      </w:tr>
    </w:tbl>
    <w:p>
      <w:pPr>
        <w:spacing w:before="0" w:after="0"/>
      </w:pPr>
    </w:p>
    <w:p>
      <w:r>
        <w:t xml:space="preserve">Na računu 3239 Ostale usluge iskazani su rashodi za grafičku pripremu i tisak knjige Centar za pružanje usluga u zajednici Ozalj te tisak plakata, šalica i privjesaka za već prije spomenute programe Skupni lonec i Panonska hiža.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34.625,62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w:t>
            </w:r>
          </w:p>
        </w:tc>
      </w:tr>
    </w:tbl>
    <w:p>
      <w:pPr>
        <w:spacing w:before="0" w:after="0"/>
      </w:pPr>
    </w:p>
    <w:p>
      <w:r>
        <w:t xml:space="preserve">Rashodi za nabavu nefinancijske imovine (račun 4) znatno su uvećani temeljem nabave kombi vozila (račun 4231) te dodatnih ulaganja u Etno parku Ozalj, odnosno sanaciji krova od škope.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računima šifra 11 se ne bilježi promet iz razloga što se od 2025. godine više ne vodi blagajničko poslovanje već se sve obveze koje su do sada isplaćivane u gotovini, isplaćuju elektronski na račun djelatnika.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936.865,63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961.152,69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r>
        <w:t xml:space="preserve">Stanje imovine u izvještajnom razdoblju ne pokazuje značajna odstupanja u odnosu na prethodno razdoblje.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214.123,28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261.653,12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w:t>
            </w:r>
          </w:p>
        </w:tc>
      </w:tr>
    </w:tbl>
    <w:p>
      <w:pPr>
        <w:spacing w:before="0" w:after="0"/>
      </w:pPr>
    </w:p>
    <w:p>
      <w:r>
        <w:t xml:space="preserve">Zabilježen je porast vrijednosti imovine na računima 021 i 02921 iz razloga što su tijekom inventure usklađena osnovna sredstva te su sredstva koja se odnose na ID 437 Kompleks Etno parka Ozalj preknjižena na račun 02146, kao i pripadajuća amortizacija na račun 02921. Shodno tome, vrijednost na računima 024 i 02924 je umanjena.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123.046,43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171.951,22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w:t>
            </w:r>
          </w:p>
        </w:tc>
      </w:tr>
    </w:tbl>
    <w:p>
      <w:pPr>
        <w:spacing w:before="0" w:after="0"/>
      </w:pPr>
    </w:p>
    <w:p>
      <w:r>
        <w:t xml:space="preserve">Račun 0214, pored prethodno navedenog razloga, uvećan je i zbog povećanja vrijednosti Etno parka Ozalj, tj. sanacije krova od škope u iznosu 25.932,18 eura.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w:t>
            </w:r>
          </w:p>
        </w:tc>
      </w:tr>
    </w:tbl>
    <w:p>
      <w:pPr>
        <w:spacing w:before="0" w:after="0"/>
      </w:pPr>
    </w:p>
    <w:p>
      <w:r>
        <w:t xml:space="preserve">Vrijednost imovine na šifri 022 i 02922 umanjena je uslijed obračuna amortizacije.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15.162,96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224,2</w:t>
            </w:r>
          </w:p>
        </w:tc>
      </w:tr>
    </w:tbl>
    <w:p>
      <w:pPr>
        <w:spacing w:before="0" w:after="0"/>
      </w:pPr>
    </w:p>
    <w:p>
      <w:r>
        <w:t xml:space="preserve">U izvještajnom razdoblju nabavljeno je kombi vozilo što je rezultiralo povećanjem vrijednosti na računu 0231.</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Drvena građa u žitnici, vođena na računu 05119, je odlukom čelnika rashodovana zbog neupotrebljivosti.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w:t>
            </w:r>
          </w:p>
        </w:tc>
      </w:tr>
    </w:tbl>
    <w:p>
      <w:pPr>
        <w:spacing w:before="0" w:after="0"/>
      </w:pPr>
    </w:p>
    <w:p>
      <w:r>
        <w:t xml:space="preserve">Razina financijske imovine (račun 1) povećana je prvenstveno zbog povećane aktivnosti korisnika, vidljivo iz stanja računa 167.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w:t>
            </w:r>
          </w:p>
        </w:tc>
      </w:tr>
    </w:tbl>
    <w:p>
      <w:pPr>
        <w:spacing w:before="0" w:after="0"/>
      </w:pPr>
    </w:p>
    <w:p>
      <w:r>
        <w:t xml:space="preserve">Temeljem odluke čelnika u izvještajnom razdoblju izvršen je otpis zastarjelih i nenaplativih potraživanja, što je rezultiralo umanjenjem potraživanja na računu 165. Za navedena potraživanja je već proveden potpuni ispravak vrijednosti potraživanja te je nastupila zastara obzirom da je od dospijeća prošlo više od 5 godina.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w:t>
            </w:r>
          </w:p>
        </w:tc>
      </w:tr>
    </w:tbl>
    <w:p>
      <w:pPr>
        <w:spacing w:before="0" w:after="0"/>
      </w:pPr>
    </w:p>
    <w:p>
      <w:r>
        <w:t xml:space="preserve">U odnosu na isto razdoblje prethodne godine, rashodi za zaposlene (račun 231) odstupaju za 37,6%, što je posljedica povećanja materijalnih prava djelatnika tj. povećanja osnovica za obračun plaća.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r>
    </w:tbl>
    <w:p>
      <w:pPr>
        <w:spacing w:before="0" w:after="0"/>
      </w:pPr>
    </w:p>
    <w:p>
      <w:r>
        <w:t xml:space="preserve">Na kraju 2024. godine utvrđen je višak prihoda poslovanja u iznosu 562,87 eura te manjak prihoda od nefinancijske imovine u iznosu 6.978,02 eura.</w:t>
      </w:r>
    </w:p>
    <w:p>
      <w:r>
        <w:t xml:space="preserve">Odlukom o raspodjeli rezultata iskazani višak prihoda poslovanja rasporedio se za pokriće manjka prihoda od nefinancijske imovine, a potom je manjak prihoda od nefinancijske imovine u iznosu 6.415,15 raspoređen na manjak prihoda poslovanja.</w:t>
      </w:r>
    </w:p>
    <w:p>
      <w:r>
        <w:t xml:space="preserve">Tijekom 2025. godine utvrđeno je da je poslovni partner otpisao 0,02 eura potraživanja prema korisniku, što je evidentirano na višak prihoda poslovanja iz prethodnih razdoblja. Za navedenih 0,02 eura viška pokriven je iskazani manjak prihoda poslovanja koji je potom iznosio 6.415,13 eura.</w:t>
      </w:r>
    </w:p>
    <w:p>
      <w:r>
        <w:t xml:space="preserve">U 2025. godini ukupni rashodi poslovanja iznose 174.584,53 eura, a ukupni prihodi iznose 209.075,06 eura, čime je ostvaren višak  prihoda poslovanja u iznosu 34.490,53. </w:t>
      </w:r>
    </w:p>
    <w:p>
      <w:r>
        <w:t xml:space="preserve">Rashodi za nabavu nefinancijske imovine iznose 34.625,62 eura te se prenose na manjak prihoda od nefinancijske imovine.</w:t>
      </w:r>
    </w:p>
    <w:p>
      <w:r>
        <w:t xml:space="preserve">Preneseni manjak prihoda poslovanja iz 2024. godine prebija se sa ostvarenim tekućim viškom prihoda poslovanja te ukupni višak prihoda poslovanja iznosi 28.075,40.</w:t>
      </w:r>
    </w:p>
    <w:p>
      <w:r>
        <w:t xml:space="preserve">Izvršena je korekcija rezultata za iznos kapitalnih pomoći proračunskim korisnicima iz proračuna koji im nije nadležan (račun 6362) te za iznos prihoda za financiranje rashoda za nabavu nefinancijske imovine (račun 67121) što je ukupno iznosilo 33.160,18 eura za korekciju rezultata čime je višak prihoda poslovanja prešao u manjak prihoda poslovanja u iznosu 5.084,78 euro (račun 92221), a manjak prihoda od nefinancijske imovine nakon korekcije iznosi 1.465,44 eura (račun 92222).</w:t>
      </w:r>
    </w:p>
    <w:p>
      <w:r>
        <w:t xml:space="preserve">Prikaz rezultata po izvorima financiranja: </w:t>
      </w:r>
    </w:p>
    <w:tbl>
      <w:tblPr>
        <w:tblStyle w:val="TableGrid"/>
        <w:tblW w:w="3962.085" w:type="pct"/>
      </w:tblPr>
      <w:tblGrid>
        <w:gridCol w:w="1017"/>
        <w:gridCol w:w="2078"/>
        <w:gridCol w:w="2349"/>
        <w:gridCol w:w="2233"/>
        <w:gridCol w:w="1948"/>
      </w:tblGrid>
      <w:tr>
        <w:trPr/>
        <w:tc>
          <w:tcPr>
            <w:tcW w:w="528" w:type="pct"/>
            <w:vMerge w:val="restart"/>
            <w:vAlign w:val="center"/>
          </w:tcPr>
          <w:p>
            <w:pPr>
              <w:keepNext/>
              <w:jc w:val="center"/>
            </w:pPr>
            <w:r>
              <w:t xml:space="preserve">KONTO</w:t>
            </w:r>
          </w:p>
        </w:tc>
        <w:tc>
          <w:tcPr>
            <w:tcW w:w="1079" w:type="pct"/>
            <w:vMerge w:val="restart"/>
            <w:vAlign w:val="center"/>
          </w:tcPr>
          <w:p>
            <w:pPr>
              <w:keepNext/>
              <w:jc w:val="center"/>
            </w:pPr>
            <w:r>
              <w:t xml:space="preserve">NAZIV</w:t>
            </w:r>
          </w:p>
        </w:tc>
        <w:tc>
          <w:tcPr>
            <w:tcW w:w="1220" w:type="pct"/>
            <w:gridSpan w:val="3"/>
            <w:vAlign w:val="center"/>
          </w:tcPr>
          <w:p>
            <w:pPr>
              <w:keepNext/>
              <w:jc w:val="center"/>
            </w:pPr>
            <w:r>
              <w:t xml:space="preserve">IZVOR</w:t>
            </w:r>
          </w:p>
        </w:tc>
      </w:tr>
      <w:tr>
        <w:trPr/>
        <w:tc>
          <w:tcPr>
            <w:tcW w:w="0"/>
            <w:vMerge w:val="continue"/>
          </w:tcPr>
          <w:p/>
        </w:tc>
        <w:tc>
          <w:tcPr>
            <w:tcW w:w="0"/>
            <w:vMerge w:val="continue"/>
          </w:tcPr>
          <w:p/>
        </w:tc>
        <w:tc>
          <w:tcPr>
            <w:tcW w:w="528" w:type="pct"/>
            <w:vAlign w:val="center"/>
          </w:tcPr>
          <w:p>
            <w:pPr>
              <w:keepNext/>
              <w:jc w:val="center"/>
            </w:pPr>
            <w:r>
              <w:t xml:space="preserve">Opći prihodi i primici</w:t>
            </w:r>
          </w:p>
        </w:tc>
        <w:tc>
          <w:tcPr>
            <w:tcW w:w="1079" w:type="pct"/>
            <w:vAlign w:val="center"/>
          </w:tcPr>
          <w:p>
            <w:pPr>
              <w:keepNext/>
              <w:jc w:val="center"/>
            </w:pPr>
            <w:r>
              <w:t xml:space="preserve">Prihodi za posebne namjene</w:t>
            </w:r>
          </w:p>
        </w:tc>
        <w:tc>
          <w:tcPr>
            <w:tcW w:w="1220" w:type="pct"/>
            <w:vAlign w:val="center"/>
          </w:tcPr>
          <w:p>
            <w:pPr>
              <w:keepNext/>
              <w:jc w:val="center"/>
            </w:pPr>
            <w:r>
              <w:t xml:space="preserve">Vlastiti prihodi</w:t>
            </w:r>
          </w:p>
        </w:tc>
      </w:tr>
      <w:tr>
        <w:trPr/>
        <w:tc>
          <w:tcPr>
            <w:tcW w:w="528" w:type="pct"/>
            <w:vAlign w:val="center"/>
          </w:tcPr>
          <w:p>
            <w:r>
              <w:t xml:space="preserve">92221</w:t>
            </w:r>
          </w:p>
        </w:tc>
        <w:tc>
          <w:tcPr>
            <w:tcW w:w="1079" w:type="pct"/>
            <w:vAlign w:val="center"/>
          </w:tcPr>
          <w:p>
            <w:r>
              <w:t xml:space="preserve">Manjak prihoda poslovanja</w:t>
            </w:r>
          </w:p>
        </w:tc>
        <w:tc>
          <w:tcPr>
            <w:tcW w:w="1220" w:type="pct"/>
            <w:vAlign w:val="center"/>
          </w:tcPr>
          <w:p>
            <w:pPr>
              <w:keepNext/>
              <w:jc w:val="center"/>
            </w:pPr>
            <w:r>
              <w:t xml:space="preserve">9.514,45</w:t>
            </w:r>
          </w:p>
        </w:tc>
        <w:tc>
          <w:tcPr>
            <w:tcW w:w="1159" w:type="pct"/>
            <w:vAlign w:val="center"/>
          </w:tcPr>
          <w:p>
            <w:r>
              <w:t xml:space="preserve"> </w:t>
            </w:r>
          </w:p>
        </w:tc>
        <w:tc>
          <w:tcPr>
            <w:tcW w:w="1011" w:type="pct"/>
            <w:vAlign w:val="center"/>
          </w:tcPr>
          <w:p>
            <w:r>
              <w:t xml:space="preserve"> </w:t>
            </w:r>
          </w:p>
        </w:tc>
      </w:tr>
      <w:tr>
        <w:trPr/>
        <w:tc>
          <w:tcPr>
            <w:tcW w:w="528" w:type="pct"/>
            <w:vAlign w:val="center"/>
          </w:tcPr>
          <w:p>
            <w:r>
              <w:t xml:space="preserve">92211</w:t>
            </w:r>
          </w:p>
        </w:tc>
        <w:tc>
          <w:tcPr>
            <w:tcW w:w="1079" w:type="pct"/>
            <w:vAlign w:val="center"/>
          </w:tcPr>
          <w:p>
            <w:r>
              <w:t xml:space="preserve">Višak prihoda poslovanja</w:t>
            </w:r>
          </w:p>
        </w:tc>
        <w:tc>
          <w:tcPr>
            <w:tcW w:w="1220" w:type="pct"/>
            <w:vAlign w:val="center"/>
          </w:tcPr>
          <w:p>
            <w:r>
              <w:t xml:space="preserve"> </w:t>
            </w:r>
          </w:p>
        </w:tc>
        <w:tc>
          <w:tcPr>
            <w:tcW w:w="1159" w:type="pct"/>
            <w:vAlign w:val="center"/>
          </w:tcPr>
          <w:p>
            <w:pPr>
              <w:keepNext/>
              <w:jc w:val="center"/>
            </w:pPr>
            <w:r>
              <w:t xml:space="preserve">-2.880,91</w:t>
            </w:r>
          </w:p>
        </w:tc>
        <w:tc>
          <w:tcPr>
            <w:tcW w:w="1011" w:type="pct"/>
            <w:vAlign w:val="center"/>
          </w:tcPr>
          <w:p>
            <w:pPr>
              <w:keepNext/>
              <w:jc w:val="center"/>
            </w:pPr>
            <w:r>
              <w:t xml:space="preserve">-83,32</w:t>
            </w:r>
          </w:p>
        </w:tc>
      </w:tr>
      <w:tr>
        <w:trPr/>
        <w:tc>
          <w:tcPr>
            <w:tcW w:w="528" w:type="pct"/>
            <w:gridSpan w:val="2"/>
            <w:vAlign w:val="center"/>
          </w:tcPr>
          <w:p>
            <w:r>
              <w:t xml:space="preserve">REZULTAT:</w:t>
            </w:r>
          </w:p>
        </w:tc>
        <w:tc>
          <w:tcPr>
            <w:tcW w:w="1079" w:type="pct"/>
            <w:gridSpan w:val="3"/>
            <w:vAlign w:val="center"/>
          </w:tcPr>
          <w:p>
            <w:r>
              <w:t xml:space="preserve">6.550,22</w:t>
            </w:r>
          </w:p>
        </w:tc>
      </w:tr>
    </w:tbl>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evidentirane na računu 91511 i šifri P003 odnose se na obračun amortizacije te rashodovanje drvene građe u žitnici. Obje aktivnosti umanjile su vrijednost proizvedene dugotrajne imovine.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potraživanja za prihode poslovanja (šifra P029) rezultat je otpisa zastarjelih i nenaplativih potraživanja.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izvještajnom razdoblju iznosi 209.632,84 eura, a smanjenje obveza u izvještajnom razdoblju iznosi 207.694,75 eura. Promjene u stanju obveza rezultat su redovnog poslovanja i urednog podmirivanja obveza.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Nepodmirene obveze na dan 31.12.2025. godine iznose 11.230,68 eura, od čega obveza za plaću za prosinac 2025. godine koja se isplaćuje u siječnju 2026. godine iznosi 10.062,84 eura, a ostatak obveza u iznosu 1.167,84 eura se odnosi na materijalne rashode koji također dospijevaju u 2026. godini. </w:t>
      </w:r>
    </w:p>
    <w:p>
      <w:r>
        <w:t xml:space="preserve">Zaključno na dan 31.12.2025. sve su dospjele obveze podmirene.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4c32c4dd10473f" /></Relationships>
</file>